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C8694" w14:textId="77777777" w:rsidR="0009254B" w:rsidRPr="00051FC4" w:rsidRDefault="0009254B" w:rsidP="0DF2EB19">
      <w:pPr>
        <w:spacing w:after="0" w:line="360" w:lineRule="auto"/>
        <w:ind w:left="709" w:hanging="709"/>
        <w:jc w:val="both"/>
        <w:rPr>
          <w:b/>
          <w:bCs/>
        </w:rPr>
      </w:pPr>
      <w:r w:rsidRPr="0DF2EB19">
        <w:rPr>
          <w:b/>
          <w:bCs/>
        </w:rPr>
        <w:t>REIKALAVIMAI TIEKĖJUI DĖL FINANSINĖS ANALIZĖS</w:t>
      </w:r>
    </w:p>
    <w:p w14:paraId="54639D54" w14:textId="77777777" w:rsidR="0009254B" w:rsidRPr="00051FC4" w:rsidRDefault="0009254B" w:rsidP="0009254B">
      <w:pPr>
        <w:spacing w:after="0" w:line="360" w:lineRule="auto"/>
        <w:ind w:left="709" w:hanging="709"/>
        <w:jc w:val="both"/>
        <w:rPr>
          <w:szCs w:val="24"/>
        </w:rPr>
      </w:pPr>
      <w:r w:rsidRPr="00051FC4">
        <w:rPr>
          <w:szCs w:val="24"/>
        </w:rPr>
        <w:t>Tiekėjas privalo pateikti išsamią finansinę analizę, kuri apimtų:</w:t>
      </w:r>
    </w:p>
    <w:p w14:paraId="29B88E00" w14:textId="77777777" w:rsidR="0009254B" w:rsidRPr="00051FC4" w:rsidRDefault="0009254B" w:rsidP="007245E7">
      <w:pPr>
        <w:pStyle w:val="Sraopastraipa"/>
        <w:numPr>
          <w:ilvl w:val="0"/>
          <w:numId w:val="9"/>
        </w:numPr>
        <w:spacing w:line="360" w:lineRule="auto"/>
        <w:ind w:left="709" w:hanging="709"/>
        <w:jc w:val="both"/>
      </w:pPr>
      <w:r w:rsidRPr="00051FC4">
        <w:rPr>
          <w:b/>
          <w:bCs/>
        </w:rPr>
        <w:t>CAPEX ir OPEX skaičiavimus</w:t>
      </w:r>
    </w:p>
    <w:p w14:paraId="282C5DEF" w14:textId="77777777" w:rsidR="0009254B" w:rsidRPr="00051FC4" w:rsidRDefault="0009254B" w:rsidP="007245E7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Nurodyti investicines sąnaudas (CAPEX) ir eksploatacines sąnaudas (OPEX) kiekvienam siūlomam tinklo valdymo modeliui.</w:t>
      </w:r>
    </w:p>
    <w:p w14:paraId="491C5BB0" w14:textId="77777777" w:rsidR="0009254B" w:rsidRPr="00051FC4" w:rsidRDefault="0009254B" w:rsidP="007245E7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Pateikti sąnaudų detalizaciją pagal pagrindines kategorijas (įranga, licencijos, paslaugos, personalas).</w:t>
      </w:r>
    </w:p>
    <w:p w14:paraId="5FF63BD0" w14:textId="77777777" w:rsidR="0009254B" w:rsidRPr="00051FC4" w:rsidRDefault="0009254B" w:rsidP="007245E7">
      <w:pPr>
        <w:pStyle w:val="Sraopastraipa"/>
        <w:numPr>
          <w:ilvl w:val="0"/>
          <w:numId w:val="9"/>
        </w:numPr>
        <w:spacing w:line="360" w:lineRule="auto"/>
        <w:ind w:left="709" w:hanging="709"/>
        <w:jc w:val="both"/>
      </w:pPr>
      <w:r w:rsidRPr="00051FC4">
        <w:rPr>
          <w:b/>
          <w:bCs/>
        </w:rPr>
        <w:t>Bendrosios sąnaudų analizę (TCO)</w:t>
      </w:r>
    </w:p>
    <w:p w14:paraId="04618258" w14:textId="77777777" w:rsidR="0009254B" w:rsidRPr="00051FC4" w:rsidRDefault="0009254B" w:rsidP="007245E7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Apskaičiuoti bendrą projekto kainą (TCO – visos nuosavybės sąnaudos) per nustatytą laikotarpį.</w:t>
      </w:r>
    </w:p>
    <w:p w14:paraId="2BD20D09" w14:textId="77777777" w:rsidR="0009254B" w:rsidRPr="00051FC4" w:rsidRDefault="0009254B" w:rsidP="007245E7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Įvertinti ilgalaikį poveikį biudžetui.</w:t>
      </w:r>
    </w:p>
    <w:p w14:paraId="344AEC69" w14:textId="77777777" w:rsidR="0009254B" w:rsidRPr="00051FC4" w:rsidRDefault="0009254B" w:rsidP="00894702">
      <w:pPr>
        <w:pStyle w:val="Sraopastraipa"/>
        <w:numPr>
          <w:ilvl w:val="0"/>
          <w:numId w:val="9"/>
        </w:numPr>
        <w:spacing w:line="360" w:lineRule="auto"/>
        <w:ind w:left="709" w:hanging="709"/>
        <w:jc w:val="both"/>
      </w:pPr>
      <w:r w:rsidRPr="00051FC4">
        <w:rPr>
          <w:b/>
          <w:bCs/>
        </w:rPr>
        <w:t>Jautrumo analizę</w:t>
      </w:r>
    </w:p>
    <w:p w14:paraId="395C3F54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Parengti bent du alternatyvius scenarijus (pvz., optimistinį ir pesimistinį).</w:t>
      </w:r>
    </w:p>
    <w:p w14:paraId="22F6426C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Įvertinti, kaip sąnaudos keistųsi esant skirtingoms prielaidoms (kainų pokyčiai, projekto trukmė).</w:t>
      </w:r>
    </w:p>
    <w:p w14:paraId="5C5EF8F5" w14:textId="77777777" w:rsidR="0009254B" w:rsidRPr="00051FC4" w:rsidRDefault="0009254B" w:rsidP="00894702">
      <w:pPr>
        <w:pStyle w:val="Sraopastraipa"/>
        <w:numPr>
          <w:ilvl w:val="0"/>
          <w:numId w:val="9"/>
        </w:numPr>
        <w:spacing w:line="360" w:lineRule="auto"/>
        <w:ind w:left="709" w:hanging="709"/>
        <w:jc w:val="both"/>
      </w:pPr>
      <w:r w:rsidRPr="00051FC4">
        <w:rPr>
          <w:b/>
          <w:bCs/>
        </w:rPr>
        <w:t>Ekonominį pagrįstumą</w:t>
      </w:r>
    </w:p>
    <w:p w14:paraId="4281B309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hanging="792"/>
        <w:jc w:val="both"/>
      </w:pPr>
      <w:r w:rsidRPr="00051FC4">
        <w:t>Pateikti išvadas dėl kiekvieno modelio ekonominio efektyvumo.</w:t>
      </w:r>
    </w:p>
    <w:p w14:paraId="04BE268E" w14:textId="77777777" w:rsidR="0009254B" w:rsidRPr="00051FC4" w:rsidRDefault="0009254B" w:rsidP="00894702">
      <w:pPr>
        <w:pStyle w:val="Sraopastraipa"/>
        <w:numPr>
          <w:ilvl w:val="0"/>
          <w:numId w:val="9"/>
        </w:numPr>
        <w:spacing w:line="360" w:lineRule="auto"/>
        <w:ind w:left="709" w:hanging="709"/>
        <w:jc w:val="both"/>
      </w:pPr>
      <w:r w:rsidRPr="00051FC4">
        <w:rPr>
          <w:b/>
          <w:bCs/>
        </w:rPr>
        <w:t>Finansavimo šaltinius</w:t>
      </w:r>
    </w:p>
    <w:p w14:paraId="0DD9D79A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Įvertinti galimus finansavimo šaltinius, įskaitant nacionalinį biudžetą, ES fondus ir kitus galimus finansavimo mechanizmus.</w:t>
      </w:r>
    </w:p>
    <w:p w14:paraId="73D9849D" w14:textId="77777777" w:rsidR="00051FC4" w:rsidRPr="00051FC4" w:rsidRDefault="00051FC4" w:rsidP="00E75471">
      <w:pPr>
        <w:pStyle w:val="Sraopastraipa"/>
        <w:numPr>
          <w:ilvl w:val="0"/>
          <w:numId w:val="9"/>
        </w:numPr>
        <w:spacing w:after="160" w:line="360" w:lineRule="auto"/>
        <w:ind w:left="709" w:hanging="709"/>
        <w:jc w:val="both"/>
        <w:rPr>
          <w:b/>
          <w:bCs/>
        </w:rPr>
      </w:pPr>
      <w:r w:rsidRPr="00051FC4">
        <w:rPr>
          <w:b/>
          <w:bCs/>
        </w:rPr>
        <w:t>Investicinio projekto parengimas pagal Investicijų projektų rengimo metodiką</w:t>
      </w:r>
    </w:p>
    <w:p w14:paraId="7AC17D08" w14:textId="2AC2B725" w:rsidR="00051FC4" w:rsidRPr="00051FC4" w:rsidRDefault="00051FC4" w:rsidP="007A3FD6">
      <w:pPr>
        <w:spacing w:after="160" w:line="360" w:lineRule="auto"/>
        <w:jc w:val="both"/>
      </w:pPr>
      <w:r>
        <w:t>Tiekėjas privalo parengti investicinį projektą, vadovaudamasis Lietuvos Respublikos viešosios įstaigos Centrinės projektų valdymo agentūros</w:t>
      </w:r>
      <w:r w:rsidR="00814B2B">
        <w:t xml:space="preserve"> direktoriaus</w:t>
      </w:r>
      <w:r>
        <w:t xml:space="preserve"> patvirtinta </w:t>
      </w:r>
      <w:hyperlink r:id="rId10" w:history="1">
        <w:r w:rsidRPr="37057A24">
          <w:rPr>
            <w:rStyle w:val="Hipersaitas"/>
            <w:i/>
            <w:iCs/>
          </w:rPr>
          <w:t>Investicijų projektų rengimo metodika</w:t>
        </w:r>
        <w:r w:rsidR="007A3FD6" w:rsidRPr="37057A24">
          <w:rPr>
            <w:rStyle w:val="Hipersaitas"/>
          </w:rPr>
          <w:t>,</w:t>
        </w:r>
      </w:hyperlink>
      <w:r>
        <w:t xml:space="preserve"> užtikrinant visų metodikoje nustatytų reikalavimų įgyvendinimą.</w:t>
      </w:r>
    </w:p>
    <w:p w14:paraId="6BE6A1CD" w14:textId="77777777" w:rsidR="00051FC4" w:rsidRPr="00051FC4" w:rsidRDefault="00051FC4" w:rsidP="00E75471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>Investicinis projektas turi apimti:</w:t>
      </w:r>
    </w:p>
    <w:p w14:paraId="09DA2618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projekto konteksto analizę,</w:t>
      </w:r>
    </w:p>
    <w:p w14:paraId="10F41A7F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galimybių ir alternatyvų analizę,</w:t>
      </w:r>
    </w:p>
    <w:p w14:paraId="7FA94151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finansinę analizę (CAPEX, OPEX, TCO, finansiniai srautai, diskontavimas),</w:t>
      </w:r>
    </w:p>
    <w:p w14:paraId="1B3BAFB2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ekonominę ir socialinę analizę,</w:t>
      </w:r>
    </w:p>
    <w:p w14:paraId="5BD00F76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jautrumo ir rizikų analizę,</w:t>
      </w:r>
    </w:p>
    <w:p w14:paraId="57EE0CDD" w14:textId="77777777" w:rsidR="00051FC4" w:rsidRPr="00051FC4" w:rsidRDefault="00051FC4" w:rsidP="00E75471">
      <w:pPr>
        <w:pStyle w:val="Sraopastraipa"/>
        <w:numPr>
          <w:ilvl w:val="2"/>
          <w:numId w:val="9"/>
        </w:numPr>
        <w:spacing w:after="160" w:line="360" w:lineRule="auto"/>
        <w:ind w:left="709" w:hanging="709"/>
        <w:jc w:val="both"/>
      </w:pPr>
      <w:r w:rsidRPr="00051FC4">
        <w:t>projekto vykdymo planą.</w:t>
      </w:r>
    </w:p>
    <w:p w14:paraId="627062CF" w14:textId="733E2811" w:rsidR="00051FC4" w:rsidRPr="00051FC4" w:rsidRDefault="00051FC4" w:rsidP="00E75471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lastRenderedPageBreak/>
        <w:t xml:space="preserve">Tiekėjas privalo naudoti CPVA pateiktą </w:t>
      </w:r>
      <w:r w:rsidR="00563447">
        <w:t>i</w:t>
      </w:r>
      <w:r w:rsidRPr="00D65ED4">
        <w:t>nvesticijų projekto</w:t>
      </w:r>
      <w:r w:rsidRPr="00051FC4">
        <w:t xml:space="preserve"> struktūrą ir </w:t>
      </w:r>
      <w:r w:rsidR="00563447">
        <w:t>i</w:t>
      </w:r>
      <w:r w:rsidR="00D65ED4" w:rsidRPr="00D65ED4">
        <w:t>nvesticijų projekto</w:t>
      </w:r>
      <w:r w:rsidRPr="00051FC4">
        <w:t xml:space="preserve"> skaičiuoklę, metodikoje nurodytus analizės metodus bei atlikti skaičiavimus, naudodamas visas prielaidas ir rodiklius, nustatytus metodikoje.</w:t>
      </w:r>
    </w:p>
    <w:p w14:paraId="0C8B87F4" w14:textId="7D7FE209" w:rsidR="00051FC4" w:rsidRPr="00051FC4" w:rsidRDefault="00051FC4" w:rsidP="00E75471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jc w:val="both"/>
      </w:pPr>
      <w:r w:rsidRPr="00051FC4">
        <w:t xml:space="preserve">Investicinis projektas yra sudėtinė Priedo D finansinės analizės dalis, todėl visas </w:t>
      </w:r>
      <w:r w:rsidR="00D65ED4">
        <w:t>i</w:t>
      </w:r>
      <w:r w:rsidR="00D65ED4" w:rsidRPr="00D65ED4">
        <w:t>nvesticijų projekto</w:t>
      </w:r>
      <w:r w:rsidRPr="00051FC4">
        <w:t xml:space="preserve"> turinys turi būti parengtas kartu su finansiniais skaičiavimais, vertinimais ir išvadomis, pateikiant aiškius argumentus dėl investicijų būtinybės, alternatyvų pasirinkimo ir numatomos finansinės bei ekonominės naudos.</w:t>
      </w:r>
    </w:p>
    <w:p w14:paraId="7930E364" w14:textId="77777777" w:rsidR="0009254B" w:rsidRPr="00051FC4" w:rsidRDefault="0009254B" w:rsidP="00894702">
      <w:pPr>
        <w:pStyle w:val="Sraopastraipa"/>
        <w:numPr>
          <w:ilvl w:val="0"/>
          <w:numId w:val="9"/>
        </w:numPr>
        <w:spacing w:after="160" w:line="360" w:lineRule="auto"/>
        <w:ind w:left="709" w:hanging="709"/>
        <w:rPr>
          <w:b/>
          <w:bCs/>
          <w:szCs w:val="24"/>
        </w:rPr>
      </w:pPr>
      <w:r w:rsidRPr="00051FC4">
        <w:rPr>
          <w:b/>
          <w:bCs/>
          <w:szCs w:val="24"/>
        </w:rPr>
        <w:t>Papildomų sąnaudų kategorijų analizė</w:t>
      </w:r>
    </w:p>
    <w:p w14:paraId="63907939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Tiekėjas privalo pateikti sąnaudų vertinimą pagal šias kategorijas:</w:t>
      </w:r>
    </w:p>
    <w:p w14:paraId="38877053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3EECFA37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2447F68F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77CA98F9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325B7E2C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7B041F3E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682F95BE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04907C8F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360727F5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4B94A9B6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213F7E71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1BE267EE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57B9D5C0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0F49FABF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24253C9E" w14:textId="77777777" w:rsidR="0009254B" w:rsidRPr="00051FC4" w:rsidRDefault="0009254B" w:rsidP="00894702">
      <w:pPr>
        <w:spacing w:after="160" w:line="360" w:lineRule="auto"/>
        <w:ind w:left="709" w:hanging="709"/>
        <w:rPr>
          <w:vanish/>
          <w:szCs w:val="24"/>
        </w:rPr>
      </w:pPr>
    </w:p>
    <w:p w14:paraId="43933AF6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Vidaus kritinių ryšių tinklų sujungimas (</w:t>
      </w:r>
      <w:proofErr w:type="spellStart"/>
      <w:r w:rsidRPr="00051FC4">
        <w:rPr>
          <w:szCs w:val="24"/>
        </w:rPr>
        <w:t>interconnection</w:t>
      </w:r>
      <w:proofErr w:type="spellEnd"/>
      <w:r w:rsidRPr="00051FC4">
        <w:rPr>
          <w:szCs w:val="24"/>
        </w:rPr>
        <w:t xml:space="preserve"> of </w:t>
      </w:r>
      <w:proofErr w:type="spellStart"/>
      <w:r w:rsidRPr="00051FC4">
        <w:rPr>
          <w:szCs w:val="24"/>
        </w:rPr>
        <w:t>domestic</w:t>
      </w:r>
      <w:proofErr w:type="spellEnd"/>
      <w:r w:rsidRPr="00051FC4">
        <w:rPr>
          <w:szCs w:val="24"/>
        </w:rPr>
        <w:t xml:space="preserve"> </w:t>
      </w:r>
      <w:proofErr w:type="spellStart"/>
      <w:r w:rsidRPr="00051FC4">
        <w:rPr>
          <w:szCs w:val="24"/>
        </w:rPr>
        <w:t>systems</w:t>
      </w:r>
      <w:proofErr w:type="spellEnd"/>
      <w:r w:rsidRPr="00051FC4">
        <w:rPr>
          <w:szCs w:val="24"/>
        </w:rPr>
        <w:t>).</w:t>
      </w:r>
    </w:p>
    <w:p w14:paraId="0249C6BD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Migracija į plačiajuostį ryšį (LTE/5G).</w:t>
      </w:r>
    </w:p>
    <w:p w14:paraId="6359EC31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 xml:space="preserve">EUCCS integracija: </w:t>
      </w:r>
    </w:p>
    <w:p w14:paraId="5B83E204" w14:textId="4DD6F0B3" w:rsidR="0009254B" w:rsidRPr="00051FC4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Tinklo ir infrastruktūros kaštai</w:t>
      </w:r>
      <w:r w:rsidR="5D67A6BB">
        <w:t>,  išskiriant atskirai CORE ir RAN kaštus.</w:t>
      </w:r>
    </w:p>
    <w:p w14:paraId="6CA851F2" w14:textId="4179DF2A" w:rsidR="0009254B" w:rsidRPr="00051FC4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Galinių įrenginių kaštai.</w:t>
      </w:r>
    </w:p>
    <w:p w14:paraId="2B6B97A3" w14:textId="63479255" w:rsidR="76C45612" w:rsidRDefault="76C45612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 xml:space="preserve">Aplikacijų </w:t>
      </w:r>
      <w:r w:rsidR="305F0E4F">
        <w:t>(taikomųjų programų</w:t>
      </w:r>
      <w:r w:rsidR="492E05FF">
        <w:t>)</w:t>
      </w:r>
      <w:r w:rsidR="305F0E4F">
        <w:t xml:space="preserve"> kaštai</w:t>
      </w:r>
      <w:r w:rsidR="469A0EAB">
        <w:t>.</w:t>
      </w:r>
    </w:p>
    <w:p w14:paraId="105C9B17" w14:textId="77777777" w:rsidR="0009254B" w:rsidRPr="0062400F" w:rsidRDefault="0009254B" w:rsidP="37057A24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Programinės įrangos licencijos ir palaikymas.</w:t>
      </w:r>
    </w:p>
    <w:p w14:paraId="41796937" w14:textId="54A39CD4" w:rsidR="2C3B3383" w:rsidRDefault="2C3B3383" w:rsidP="37057A24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Techninių ir programinių priemonių, skirtų  kibernetiniam saugumui užtikrinti, įsigijimo ir palaikymo kaštai.</w:t>
      </w:r>
    </w:p>
    <w:p w14:paraId="4BB683AB" w14:textId="0EAAE672" w:rsidR="0009254B" w:rsidRPr="00051FC4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Nacionalinės kompetentingos institucijos sukūrimo</w:t>
      </w:r>
      <w:r w:rsidR="31D9CEBE">
        <w:t xml:space="preserve"> ar plėtros </w:t>
      </w:r>
      <w:r>
        <w:t>ir palaikymo kaštai.</w:t>
      </w:r>
    </w:p>
    <w:p w14:paraId="33E60772" w14:textId="77777777" w:rsidR="0009254B" w:rsidRPr="002B4FB6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 w:rsidRPr="002B4FB6">
        <w:t>Kritinių ryšių palaikymo paslaugos.</w:t>
      </w:r>
    </w:p>
    <w:p w14:paraId="1AB86F77" w14:textId="6A6C69F1" w:rsidR="0009254B" w:rsidRPr="00051FC4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>
        <w:t>Papildom</w:t>
      </w:r>
      <w:r w:rsidR="0CCFF055">
        <w:t>ų</w:t>
      </w:r>
      <w:r>
        <w:t xml:space="preserve"> žmogišk</w:t>
      </w:r>
      <w:r w:rsidR="1B0BD1F0">
        <w:t xml:space="preserve">ųjų </w:t>
      </w:r>
      <w:r>
        <w:t xml:space="preserve"> ištekli</w:t>
      </w:r>
      <w:r w:rsidR="627F2696">
        <w:t>ų kaštai</w:t>
      </w:r>
      <w:r>
        <w:t>.</w:t>
      </w:r>
    </w:p>
    <w:p w14:paraId="3098F3E9" w14:textId="77777777" w:rsidR="0009254B" w:rsidRPr="0062400F" w:rsidRDefault="0009254B" w:rsidP="0062400F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szCs w:val="24"/>
        </w:rPr>
      </w:pPr>
      <w:r w:rsidRPr="0062400F">
        <w:rPr>
          <w:szCs w:val="24"/>
        </w:rPr>
        <w:t>Kiti vienkartiniai ir pasikartojantys kaštai.</w:t>
      </w:r>
    </w:p>
    <w:p w14:paraId="76D1F6A7" w14:textId="77777777" w:rsidR="0009254B" w:rsidRPr="00051FC4" w:rsidRDefault="0009254B" w:rsidP="0062400F">
      <w:pPr>
        <w:pStyle w:val="Sraopastraipa"/>
        <w:numPr>
          <w:ilvl w:val="0"/>
          <w:numId w:val="9"/>
        </w:numPr>
        <w:spacing w:after="0" w:line="360" w:lineRule="auto"/>
        <w:ind w:left="709" w:hanging="709"/>
        <w:rPr>
          <w:b/>
          <w:bCs/>
          <w:szCs w:val="24"/>
        </w:rPr>
      </w:pPr>
      <w:r w:rsidRPr="00051FC4">
        <w:rPr>
          <w:b/>
          <w:bCs/>
          <w:szCs w:val="24"/>
        </w:rPr>
        <w:t>Administracinių sąnaudų analizė</w:t>
      </w:r>
    </w:p>
    <w:p w14:paraId="6FF049AB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Įvertinti administracines sąnaudas, tokias kaip:</w:t>
      </w:r>
    </w:p>
    <w:p w14:paraId="70471FA0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Ataskaitų teikimo įrankių įsigijimas ir palaikymas.</w:t>
      </w:r>
    </w:p>
    <w:p w14:paraId="73953CBA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Papildomi žmogiškieji ištekliai ataskaitoms ir statistikai.</w:t>
      </w:r>
    </w:p>
    <w:p w14:paraId="3F47924C" w14:textId="77777777" w:rsidR="0009254B" w:rsidRPr="00051FC4" w:rsidRDefault="0009254B" w:rsidP="00894702">
      <w:pPr>
        <w:pStyle w:val="Sraopastraipa"/>
        <w:numPr>
          <w:ilvl w:val="1"/>
          <w:numId w:val="9"/>
        </w:numPr>
        <w:spacing w:after="160" w:line="360" w:lineRule="auto"/>
        <w:ind w:left="709" w:hanging="709"/>
        <w:rPr>
          <w:szCs w:val="24"/>
        </w:rPr>
      </w:pPr>
      <w:r w:rsidRPr="00051FC4">
        <w:rPr>
          <w:szCs w:val="24"/>
        </w:rPr>
        <w:t>Mokymų organizavimas.</w:t>
      </w:r>
    </w:p>
    <w:p w14:paraId="37C448A6" w14:textId="77777777" w:rsidR="0009254B" w:rsidRPr="00051FC4" w:rsidRDefault="0009254B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szCs w:val="24"/>
        </w:rPr>
      </w:pPr>
      <w:r w:rsidRPr="00051FC4">
        <w:rPr>
          <w:szCs w:val="24"/>
        </w:rPr>
        <w:t>Kiti administraciniai kaštai.</w:t>
      </w:r>
    </w:p>
    <w:p w14:paraId="6C638F0A" w14:textId="77777777" w:rsidR="002C2CE4" w:rsidRPr="002C2CE4" w:rsidRDefault="002C2CE4" w:rsidP="00475CEA">
      <w:pPr>
        <w:pStyle w:val="Sraopastraipa"/>
        <w:numPr>
          <w:ilvl w:val="0"/>
          <w:numId w:val="9"/>
        </w:numPr>
        <w:spacing w:after="0" w:line="360" w:lineRule="auto"/>
        <w:ind w:left="709" w:hanging="709"/>
        <w:rPr>
          <w:b/>
          <w:bCs/>
        </w:rPr>
      </w:pPr>
      <w:r w:rsidRPr="002C2CE4">
        <w:rPr>
          <w:b/>
          <w:bCs/>
        </w:rPr>
        <w:t>Apmokėjimo už VKRT paslaugas modelio ir metodikos parengimas</w:t>
      </w:r>
    </w:p>
    <w:p w14:paraId="42736F3D" w14:textId="77777777" w:rsidR="002C2CE4" w:rsidRDefault="002C2CE4" w:rsidP="00475CEA">
      <w:pPr>
        <w:spacing w:after="0" w:line="360" w:lineRule="auto"/>
      </w:pPr>
      <w:r w:rsidRPr="002C2CE4">
        <w:lastRenderedPageBreak/>
        <w:t>Tiekėjas privalo parengti išsamią apmokėjimo už VKRT paslaugas metodiką, kuri nustatytų, kaip bus apskaičiuojami ir paskirstomi paslaugų kaštai skirtingoms naudotojų grupėms. Metodika turi apimti:</w:t>
      </w:r>
    </w:p>
    <w:p w14:paraId="43AA2EC5" w14:textId="595C3039" w:rsidR="00663B4B" w:rsidRDefault="002C2CE4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</w:pPr>
      <w:r w:rsidRPr="00D90168">
        <w:rPr>
          <w:b/>
          <w:bCs/>
        </w:rPr>
        <w:t>Centralizuoto apmokėjimo modelį</w:t>
      </w:r>
    </w:p>
    <w:p w14:paraId="6CBABA04" w14:textId="43523438" w:rsidR="002C2CE4" w:rsidRPr="002C2CE4" w:rsidRDefault="002C2CE4" w:rsidP="00475CEA">
      <w:pPr>
        <w:spacing w:after="0" w:line="360" w:lineRule="auto"/>
        <w:jc w:val="both"/>
      </w:pPr>
      <w:r w:rsidRPr="002C2CE4">
        <w:t>Nustatyti principus, kuriais remiantis valstybės ir savivaldybių biudžetinėms įstaigoms bei kitoms viešojo saugumo institucijoms VKRT paslaugos gali būti apmokamos centralizuotai iš valstybės biudžeto.</w:t>
      </w:r>
    </w:p>
    <w:p w14:paraId="527F09F0" w14:textId="77777777" w:rsidR="002C2CE4" w:rsidRPr="00E27800" w:rsidRDefault="002C2CE4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</w:rPr>
      </w:pPr>
      <w:r w:rsidRPr="00E27800">
        <w:rPr>
          <w:b/>
          <w:bCs/>
        </w:rPr>
        <w:t>Individualaus apmokėjimo modelį</w:t>
      </w:r>
    </w:p>
    <w:p w14:paraId="6EAD17F9" w14:textId="77777777" w:rsidR="002C2CE4" w:rsidRPr="002C2CE4" w:rsidRDefault="002C2CE4" w:rsidP="00475CEA">
      <w:pPr>
        <w:spacing w:after="0" w:line="360" w:lineRule="auto"/>
      </w:pPr>
      <w:r w:rsidRPr="002C2CE4">
        <w:t>Apibrėžti, kaip VKRT paslaugas apmokės kiti naudotojai, įskaitant:</w:t>
      </w:r>
    </w:p>
    <w:p w14:paraId="017D98DB" w14:textId="77777777" w:rsidR="002C2CE4" w:rsidRPr="002C2CE4" w:rsidRDefault="002C2CE4" w:rsidP="00A65AFE">
      <w:pPr>
        <w:pStyle w:val="Sraopastraipa"/>
        <w:numPr>
          <w:ilvl w:val="0"/>
          <w:numId w:val="13"/>
        </w:numPr>
        <w:spacing w:after="0" w:line="360" w:lineRule="auto"/>
        <w:ind w:left="714" w:hanging="714"/>
      </w:pPr>
      <w:r w:rsidRPr="002C2CE4">
        <w:t>pelno siekiančias įmones,</w:t>
      </w:r>
    </w:p>
    <w:p w14:paraId="6677FCE0" w14:textId="42D5C445" w:rsidR="0038196D" w:rsidRPr="00A65AFE" w:rsidRDefault="0038196D" w:rsidP="00B83696">
      <w:pPr>
        <w:pStyle w:val="Sraopastraipa"/>
        <w:numPr>
          <w:ilvl w:val="0"/>
          <w:numId w:val="13"/>
        </w:numPr>
        <w:spacing w:after="0" w:line="360" w:lineRule="auto"/>
        <w:ind w:left="714" w:hanging="714"/>
        <w:jc w:val="both"/>
        <w:rPr>
          <w:rFonts w:asciiTheme="majorBidi" w:eastAsia="Times New Roman" w:hAnsiTheme="majorBidi" w:cstheme="majorBidi"/>
          <w:szCs w:val="24"/>
        </w:rPr>
      </w:pPr>
      <w:r w:rsidRPr="00A65AFE">
        <w:rPr>
          <w:rFonts w:asciiTheme="majorBidi" w:eastAsia="Times New Roman" w:hAnsiTheme="majorBidi" w:cstheme="majorBidi"/>
          <w:szCs w:val="24"/>
        </w:rPr>
        <w:t>ūkio subjektus ir (ar) infrastruktūros valdytojus, kurie nėra finansuojami iš valstybės ar savivaldybių biudžetų</w:t>
      </w:r>
      <w:r w:rsidR="00B83696">
        <w:rPr>
          <w:rFonts w:asciiTheme="majorBidi" w:eastAsia="Times New Roman" w:hAnsiTheme="majorBidi" w:cstheme="majorBidi"/>
          <w:szCs w:val="24"/>
        </w:rPr>
        <w:t>,</w:t>
      </w:r>
      <w:r w:rsidRPr="00A65AFE">
        <w:rPr>
          <w:rFonts w:asciiTheme="majorBidi" w:eastAsia="Times New Roman" w:hAnsiTheme="majorBidi" w:cstheme="majorBidi"/>
          <w:szCs w:val="24"/>
        </w:rPr>
        <w:t xml:space="preserve"> </w:t>
      </w:r>
    </w:p>
    <w:p w14:paraId="0A494703" w14:textId="77777777" w:rsidR="002C2CE4" w:rsidRPr="002C2CE4" w:rsidRDefault="002C2CE4" w:rsidP="00A65AFE">
      <w:pPr>
        <w:pStyle w:val="Sraopastraipa"/>
        <w:numPr>
          <w:ilvl w:val="0"/>
          <w:numId w:val="13"/>
        </w:numPr>
        <w:spacing w:after="0" w:line="360" w:lineRule="auto"/>
        <w:ind w:left="714" w:hanging="714"/>
      </w:pPr>
      <w:r w:rsidRPr="002C2CE4">
        <w:t>nekritinius naudotojus,</w:t>
      </w:r>
    </w:p>
    <w:p w14:paraId="38360679" w14:textId="77777777" w:rsidR="002C2CE4" w:rsidRPr="002C2CE4" w:rsidRDefault="002C2CE4" w:rsidP="00A65AFE">
      <w:pPr>
        <w:pStyle w:val="Sraopastraipa"/>
        <w:numPr>
          <w:ilvl w:val="0"/>
          <w:numId w:val="13"/>
        </w:numPr>
        <w:spacing w:after="0" w:line="360" w:lineRule="auto"/>
        <w:ind w:left="714" w:hanging="714"/>
      </w:pPr>
      <w:r w:rsidRPr="002C2CE4">
        <w:t>kitus subjektus, kuriems paslaugos negali būti teikiamos nemokamai.</w:t>
      </w:r>
    </w:p>
    <w:p w14:paraId="0BA31545" w14:textId="77777777" w:rsidR="002C2CE4" w:rsidRPr="00E27800" w:rsidRDefault="002C2CE4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</w:rPr>
      </w:pPr>
      <w:r w:rsidRPr="00E27800">
        <w:rPr>
          <w:b/>
          <w:bCs/>
        </w:rPr>
        <w:t>Tarifų ir paslaugų kainodaros modelį</w:t>
      </w:r>
    </w:p>
    <w:p w14:paraId="0A73AC38" w14:textId="77777777" w:rsidR="002C2CE4" w:rsidRPr="002C2CE4" w:rsidRDefault="002C2CE4" w:rsidP="00475CEA">
      <w:pPr>
        <w:spacing w:after="0" w:line="360" w:lineRule="auto"/>
      </w:pPr>
      <w:r w:rsidRPr="002C2CE4">
        <w:t>Tiekėjas turi parengti metodiką, nustatančią:</w:t>
      </w:r>
    </w:p>
    <w:p w14:paraId="12A2A402" w14:textId="77777777" w:rsidR="002C2CE4" w:rsidRPr="002C2CE4" w:rsidRDefault="002C2CE4" w:rsidP="00475CEA">
      <w:pPr>
        <w:pStyle w:val="Sraopastraipa"/>
        <w:numPr>
          <w:ilvl w:val="0"/>
          <w:numId w:val="14"/>
        </w:numPr>
        <w:spacing w:after="0" w:line="360" w:lineRule="auto"/>
        <w:ind w:hanging="720"/>
      </w:pPr>
      <w:r w:rsidRPr="002C2CE4">
        <w:t>kaip formuojamos paslaugų kainos,</w:t>
      </w:r>
    </w:p>
    <w:p w14:paraId="047A9508" w14:textId="77777777" w:rsidR="002C2CE4" w:rsidRPr="002C2CE4" w:rsidRDefault="002C2CE4" w:rsidP="00475CEA">
      <w:pPr>
        <w:pStyle w:val="Sraopastraipa"/>
        <w:numPr>
          <w:ilvl w:val="0"/>
          <w:numId w:val="14"/>
        </w:numPr>
        <w:spacing w:after="0" w:line="360" w:lineRule="auto"/>
        <w:ind w:hanging="720"/>
      </w:pPr>
      <w:r w:rsidRPr="002C2CE4">
        <w:t>kokie kaštų elementai įtraukiami (CAPEX, OPEX, palaikymo paslaugos),</w:t>
      </w:r>
    </w:p>
    <w:p w14:paraId="6DB3FF23" w14:textId="77777777" w:rsidR="002C2CE4" w:rsidRPr="002C2CE4" w:rsidRDefault="002C2CE4" w:rsidP="00475CEA">
      <w:pPr>
        <w:pStyle w:val="Sraopastraipa"/>
        <w:numPr>
          <w:ilvl w:val="0"/>
          <w:numId w:val="14"/>
        </w:numPr>
        <w:spacing w:after="0" w:line="360" w:lineRule="auto"/>
        <w:ind w:hanging="720"/>
      </w:pPr>
      <w:r w:rsidRPr="002C2CE4">
        <w:t>kaip apskaičiuojamos vieneto kainos (pvz., naudotojo, SIM, paslaugos kaina, duomenų srautų ar pajėgumo dalis),</w:t>
      </w:r>
    </w:p>
    <w:p w14:paraId="2D4FDA80" w14:textId="77777777" w:rsidR="002C2CE4" w:rsidRPr="002C2CE4" w:rsidRDefault="002C2CE4" w:rsidP="00475CEA">
      <w:pPr>
        <w:pStyle w:val="Sraopastraipa"/>
        <w:numPr>
          <w:ilvl w:val="0"/>
          <w:numId w:val="14"/>
        </w:numPr>
        <w:spacing w:after="0" w:line="360" w:lineRule="auto"/>
        <w:ind w:hanging="720"/>
      </w:pPr>
      <w:r w:rsidRPr="002C2CE4">
        <w:t>kokiais principais diferencijuojamos kainos skirtingoms naudotojų grupėms.</w:t>
      </w:r>
    </w:p>
    <w:p w14:paraId="6B7E32D8" w14:textId="77777777" w:rsidR="002C2CE4" w:rsidRPr="00E27800" w:rsidRDefault="002C2CE4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</w:rPr>
      </w:pPr>
      <w:r w:rsidRPr="00E27800">
        <w:rPr>
          <w:b/>
          <w:bCs/>
        </w:rPr>
        <w:t>Sąnaudų paskirstymo taisykles</w:t>
      </w:r>
    </w:p>
    <w:p w14:paraId="63717A35" w14:textId="77777777" w:rsidR="002C2CE4" w:rsidRPr="002C2CE4" w:rsidRDefault="002C2CE4" w:rsidP="00475CEA">
      <w:pPr>
        <w:spacing w:after="0" w:line="360" w:lineRule="auto"/>
      </w:pPr>
      <w:r w:rsidRPr="002C2CE4">
        <w:t>Tiekėjas turi pateikti kaštų dalinimo mechanizmą, atsižvelgiant į:</w:t>
      </w:r>
    </w:p>
    <w:p w14:paraId="136A3945" w14:textId="77777777" w:rsidR="002C2CE4" w:rsidRPr="002C2CE4" w:rsidRDefault="002C2CE4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 w:rsidRPr="002C2CE4">
        <w:t>paslaugų tipą,</w:t>
      </w:r>
    </w:p>
    <w:p w14:paraId="6D23C2C3" w14:textId="77777777" w:rsidR="002C2CE4" w:rsidRPr="002C2CE4" w:rsidRDefault="002C2CE4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 w:rsidRPr="002C2CE4">
        <w:t>naudotojų kategoriją,</w:t>
      </w:r>
    </w:p>
    <w:p w14:paraId="0FF3A39C" w14:textId="77777777" w:rsidR="002C2CE4" w:rsidRPr="002C2CE4" w:rsidRDefault="002C2CE4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 w:rsidRPr="002C2CE4">
        <w:t>tinklo apkrovą,</w:t>
      </w:r>
    </w:p>
    <w:p w14:paraId="10D85963" w14:textId="77777777" w:rsidR="002C2CE4" w:rsidRPr="002C2CE4" w:rsidRDefault="002C2CE4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 w:rsidRPr="002C2CE4">
        <w:t>infrastruktūros naudojimą,</w:t>
      </w:r>
    </w:p>
    <w:p w14:paraId="72C7DD08" w14:textId="63474C9A" w:rsidR="002C2CE4" w:rsidRPr="002C2CE4" w:rsidRDefault="002C2CE4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>
        <w:t>paslaugų intensyvumą</w:t>
      </w:r>
      <w:r w:rsidR="05D9DCCA">
        <w:t>,</w:t>
      </w:r>
    </w:p>
    <w:p w14:paraId="56E9E9E7" w14:textId="4BC5A13E" w:rsidR="002C2CE4" w:rsidRPr="002C2CE4" w:rsidRDefault="05D9DCCA" w:rsidP="00475CEA">
      <w:pPr>
        <w:pStyle w:val="Sraopastraipa"/>
        <w:numPr>
          <w:ilvl w:val="0"/>
          <w:numId w:val="15"/>
        </w:numPr>
        <w:spacing w:after="0" w:line="360" w:lineRule="auto"/>
        <w:ind w:hanging="720"/>
      </w:pPr>
      <w:r>
        <w:t>kitus būtinus kriterijus</w:t>
      </w:r>
    </w:p>
    <w:p w14:paraId="66BF32EF" w14:textId="77777777" w:rsidR="002C2CE4" w:rsidRPr="00E27800" w:rsidRDefault="002C2CE4" w:rsidP="00475CEA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</w:rPr>
      </w:pPr>
      <w:r w:rsidRPr="00E27800">
        <w:rPr>
          <w:b/>
          <w:bCs/>
        </w:rPr>
        <w:t>Socialinio ir ekonominio pagrįstumo įvertinimą</w:t>
      </w:r>
    </w:p>
    <w:p w14:paraId="5011E9DE" w14:textId="77777777" w:rsidR="002C2CE4" w:rsidRPr="002C2CE4" w:rsidRDefault="002C2CE4" w:rsidP="00475CEA">
      <w:pPr>
        <w:spacing w:after="0" w:line="360" w:lineRule="auto"/>
      </w:pPr>
      <w:r w:rsidRPr="002C2CE4">
        <w:t>Įvertinti:</w:t>
      </w:r>
    </w:p>
    <w:p w14:paraId="5A45CAD4" w14:textId="77777777" w:rsidR="002C2CE4" w:rsidRPr="002C2CE4" w:rsidRDefault="002C2CE4" w:rsidP="00475CEA">
      <w:pPr>
        <w:pStyle w:val="Sraopastraipa"/>
        <w:numPr>
          <w:ilvl w:val="0"/>
          <w:numId w:val="16"/>
        </w:numPr>
        <w:spacing w:after="0" w:line="360" w:lineRule="auto"/>
        <w:ind w:hanging="720"/>
      </w:pPr>
      <w:r w:rsidRPr="002C2CE4">
        <w:lastRenderedPageBreak/>
        <w:t>galimą poveikį valstybei,</w:t>
      </w:r>
    </w:p>
    <w:p w14:paraId="42831769" w14:textId="77777777" w:rsidR="002C2CE4" w:rsidRPr="002C2CE4" w:rsidRDefault="002C2CE4" w:rsidP="00475CEA">
      <w:pPr>
        <w:pStyle w:val="Sraopastraipa"/>
        <w:numPr>
          <w:ilvl w:val="0"/>
          <w:numId w:val="16"/>
        </w:numPr>
        <w:spacing w:after="0" w:line="360" w:lineRule="auto"/>
        <w:ind w:hanging="720"/>
      </w:pPr>
      <w:r w:rsidRPr="002C2CE4">
        <w:t>galimą papildomų naudotojų įsitraukimą,</w:t>
      </w:r>
    </w:p>
    <w:p w14:paraId="598168E9" w14:textId="4269ED82" w:rsidR="002C2CE4" w:rsidRPr="00E27800" w:rsidRDefault="00D8322B" w:rsidP="00475CEA">
      <w:pPr>
        <w:pStyle w:val="Sraopastraipa"/>
        <w:numPr>
          <w:ilvl w:val="0"/>
          <w:numId w:val="9"/>
        </w:numPr>
        <w:spacing w:after="0" w:line="360" w:lineRule="auto"/>
        <w:ind w:left="709" w:hanging="709"/>
        <w:rPr>
          <w:b/>
          <w:bCs/>
        </w:rPr>
      </w:pPr>
      <w:r w:rsidRPr="0DF2EB19">
        <w:rPr>
          <w:b/>
          <w:bCs/>
        </w:rPr>
        <w:t xml:space="preserve">Finansinės </w:t>
      </w:r>
      <w:r w:rsidR="002C2CE4" w:rsidRPr="00E27800">
        <w:rPr>
          <w:b/>
          <w:bCs/>
        </w:rPr>
        <w:t>analizės pateikimo forma</w:t>
      </w:r>
    </w:p>
    <w:p w14:paraId="7E9D588E" w14:textId="0CF7C6DE" w:rsidR="002C2CE4" w:rsidRPr="002C2CE4" w:rsidRDefault="002C2CE4" w:rsidP="00996938">
      <w:pPr>
        <w:spacing w:after="0" w:line="360" w:lineRule="auto"/>
        <w:jc w:val="both"/>
      </w:pPr>
      <w:r w:rsidRPr="002C2CE4">
        <w:t>Tiekėjas privalo pateikti šio priedo rezultatus struktūruota forma, aiškiai nurodydamas naudotus duomenis, metodus ir prielaidas.</w:t>
      </w:r>
      <w:r w:rsidR="007C1D2F">
        <w:t xml:space="preserve"> </w:t>
      </w:r>
      <w:r w:rsidRPr="002C2CE4">
        <w:t>Rezultatai turi būti pateikti:</w:t>
      </w:r>
    </w:p>
    <w:p w14:paraId="53192645" w14:textId="21044AFF" w:rsidR="007C1D2F" w:rsidRPr="00996938" w:rsidRDefault="007C1D2F" w:rsidP="00996938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  <w:szCs w:val="24"/>
        </w:rPr>
      </w:pPr>
      <w:r w:rsidRPr="00996938">
        <w:rPr>
          <w:b/>
          <w:bCs/>
          <w:szCs w:val="24"/>
        </w:rPr>
        <w:t>DOCX ir PDF formatu</w:t>
      </w:r>
    </w:p>
    <w:p w14:paraId="06DDFF35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visa finansinės analizės metodika,</w:t>
      </w:r>
    </w:p>
    <w:p w14:paraId="0D945B70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skaičiavimo paaiškinimai ir prielaidos,</w:t>
      </w:r>
    </w:p>
    <w:p w14:paraId="0F84A099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CAPEX, OPEX, TCO pagrindimas,</w:t>
      </w:r>
    </w:p>
    <w:p w14:paraId="6E11B6F1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ekonominis ir socialinis pagrįstumas,</w:t>
      </w:r>
    </w:p>
    <w:p w14:paraId="38A41F95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rizikų ir jautrumo analizės išvados,</w:t>
      </w:r>
    </w:p>
    <w:p w14:paraId="0B5C5D7D" w14:textId="77777777" w:rsidR="007C1D2F" w:rsidRPr="00996938" w:rsidRDefault="007C1D2F" w:rsidP="00996938">
      <w:pPr>
        <w:pStyle w:val="Sraopastraipa"/>
        <w:numPr>
          <w:ilvl w:val="0"/>
          <w:numId w:val="21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apmokėjimo už VKRT paslaugas metodika.</w:t>
      </w:r>
    </w:p>
    <w:p w14:paraId="717B4D63" w14:textId="5866250B" w:rsidR="007C1D2F" w:rsidRPr="00996938" w:rsidRDefault="007C1D2F" w:rsidP="00996938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  <w:szCs w:val="24"/>
        </w:rPr>
      </w:pPr>
      <w:r w:rsidRPr="00996938">
        <w:rPr>
          <w:b/>
          <w:bCs/>
          <w:szCs w:val="24"/>
        </w:rPr>
        <w:t>Excel formatu — visi finansiniai skaičiavimai</w:t>
      </w:r>
    </w:p>
    <w:p w14:paraId="2254CC06" w14:textId="77777777" w:rsidR="007C1D2F" w:rsidRPr="00996938" w:rsidRDefault="007C1D2F" w:rsidP="00996938">
      <w:p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Excel skaičiuoklėje turi būti atskiri lapai:</w:t>
      </w:r>
    </w:p>
    <w:p w14:paraId="2A23BBCD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CAPEX (pagal komponentus, modelius, etapus),</w:t>
      </w:r>
    </w:p>
    <w:p w14:paraId="37E87519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OPEX (pagal metus, kategorijas),</w:t>
      </w:r>
    </w:p>
    <w:p w14:paraId="6BE120D0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TCO (10–15 metų periodui),</w:t>
      </w:r>
    </w:p>
    <w:p w14:paraId="36B4B882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jautrumo analizė (optimistinis / bazinis / pesimistinis),</w:t>
      </w:r>
    </w:p>
    <w:p w14:paraId="4E173143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finansavimo šaltinių analizė,</w:t>
      </w:r>
    </w:p>
    <w:p w14:paraId="6AC9AF9A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tarifų/kainodaros modelis ir kaštų paskirstymas,</w:t>
      </w:r>
    </w:p>
    <w:p w14:paraId="5662A619" w14:textId="61A7F1A8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visos papildomos sąnaudų kategorijos,</w:t>
      </w:r>
    </w:p>
    <w:p w14:paraId="218AF05D" w14:textId="77777777" w:rsidR="007C1D2F" w:rsidRPr="00996938" w:rsidRDefault="007C1D2F" w:rsidP="00996938">
      <w:pPr>
        <w:pStyle w:val="Sraopastraipa"/>
        <w:numPr>
          <w:ilvl w:val="0"/>
          <w:numId w:val="22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investicinio projekto skaičiuoklė pagal CPVA struktūrą.</w:t>
      </w:r>
    </w:p>
    <w:p w14:paraId="6A33ED1C" w14:textId="1A2F2FB2" w:rsidR="007C1D2F" w:rsidRPr="00996938" w:rsidRDefault="007C1D2F" w:rsidP="00996938">
      <w:pPr>
        <w:pStyle w:val="Sraopastraipa"/>
        <w:numPr>
          <w:ilvl w:val="1"/>
          <w:numId w:val="9"/>
        </w:numPr>
        <w:spacing w:after="0" w:line="360" w:lineRule="auto"/>
        <w:ind w:left="709" w:hanging="709"/>
        <w:rPr>
          <w:b/>
          <w:bCs/>
          <w:szCs w:val="24"/>
        </w:rPr>
      </w:pPr>
      <w:r w:rsidRPr="00996938">
        <w:rPr>
          <w:b/>
          <w:bCs/>
          <w:szCs w:val="24"/>
        </w:rPr>
        <w:t>Lentelių ir grafikų forma</w:t>
      </w:r>
    </w:p>
    <w:p w14:paraId="651C3664" w14:textId="77777777" w:rsidR="007C1D2F" w:rsidRPr="00996938" w:rsidRDefault="007C1D2F" w:rsidP="00996938">
      <w:p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Pateikti:</w:t>
      </w:r>
    </w:p>
    <w:p w14:paraId="065F97C3" w14:textId="77777777" w:rsidR="007C1D2F" w:rsidRPr="00996938" w:rsidRDefault="007C1D2F" w:rsidP="00996938">
      <w:pPr>
        <w:pStyle w:val="Sraopastraipa"/>
        <w:numPr>
          <w:ilvl w:val="0"/>
          <w:numId w:val="23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CAPEX/OPEX struktūros grafikus,</w:t>
      </w:r>
    </w:p>
    <w:p w14:paraId="1C4DC9DE" w14:textId="77777777" w:rsidR="007C1D2F" w:rsidRPr="00996938" w:rsidRDefault="007C1D2F" w:rsidP="00996938">
      <w:pPr>
        <w:pStyle w:val="Sraopastraipa"/>
        <w:numPr>
          <w:ilvl w:val="0"/>
          <w:numId w:val="23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modelių palyginimo grafikus,</w:t>
      </w:r>
    </w:p>
    <w:p w14:paraId="6F45FBB3" w14:textId="77777777" w:rsidR="007C1D2F" w:rsidRPr="00996938" w:rsidRDefault="007C1D2F" w:rsidP="00996938">
      <w:pPr>
        <w:pStyle w:val="Sraopastraipa"/>
        <w:numPr>
          <w:ilvl w:val="0"/>
          <w:numId w:val="23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TCO laiko eilučių grafikus,</w:t>
      </w:r>
    </w:p>
    <w:p w14:paraId="6AD5E8C0" w14:textId="77777777" w:rsidR="007C1D2F" w:rsidRPr="00996938" w:rsidRDefault="007C1D2F" w:rsidP="00996938">
      <w:pPr>
        <w:pStyle w:val="Sraopastraipa"/>
        <w:numPr>
          <w:ilvl w:val="0"/>
          <w:numId w:val="23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tarifų modelio lenteles,</w:t>
      </w:r>
    </w:p>
    <w:p w14:paraId="2B4F0F27" w14:textId="77777777" w:rsidR="007C1D2F" w:rsidRPr="00996938" w:rsidRDefault="007C1D2F" w:rsidP="00996938">
      <w:pPr>
        <w:pStyle w:val="Sraopastraipa"/>
        <w:numPr>
          <w:ilvl w:val="0"/>
          <w:numId w:val="23"/>
        </w:numPr>
        <w:spacing w:after="0" w:line="360" w:lineRule="auto"/>
        <w:ind w:left="709" w:hanging="709"/>
        <w:rPr>
          <w:szCs w:val="24"/>
        </w:rPr>
      </w:pPr>
      <w:r w:rsidRPr="00996938">
        <w:rPr>
          <w:szCs w:val="24"/>
        </w:rPr>
        <w:t>papildomų naudotojų įsitraukimo scenarijus.</w:t>
      </w:r>
    </w:p>
    <w:p w14:paraId="2FCD9110" w14:textId="77777777" w:rsidR="002C2CE4" w:rsidRPr="002C2CE4" w:rsidRDefault="002C2CE4" w:rsidP="004C2B13">
      <w:pPr>
        <w:spacing w:after="0" w:line="360" w:lineRule="auto"/>
        <w:jc w:val="both"/>
      </w:pPr>
      <w:r w:rsidRPr="002C2CE4">
        <w:lastRenderedPageBreak/>
        <w:t>Pateikta informacija turi sudaryti aiškų ir nuoseklų pagrindą VKRT finansavimo modelio, kainodaros mechanizmo, naudotojų apmokėjimo sistemos ir įdiegimo strategijos rengimui, neapsiribojant tik šiame priede nurodytomis kategorijomis.</w:t>
      </w:r>
    </w:p>
    <w:p w14:paraId="7C42ECF3" w14:textId="77777777" w:rsidR="002C2CE4" w:rsidRPr="00763725" w:rsidRDefault="002C2CE4" w:rsidP="00475CEA">
      <w:pPr>
        <w:spacing w:after="0" w:line="360" w:lineRule="auto"/>
        <w:rPr>
          <w:rFonts w:asciiTheme="majorBidi" w:hAnsiTheme="majorBidi" w:cstheme="majorBidi"/>
        </w:rPr>
      </w:pPr>
    </w:p>
    <w:p w14:paraId="16F67515" w14:textId="77777777" w:rsidR="00DF1B41" w:rsidRPr="00051FC4" w:rsidRDefault="00DF1B41" w:rsidP="00475CEA">
      <w:pPr>
        <w:spacing w:after="0" w:line="360" w:lineRule="auto"/>
      </w:pPr>
    </w:p>
    <w:sectPr w:rsidR="00DF1B41" w:rsidRPr="00051FC4">
      <w:headerReference w:type="default" r:id="rId11"/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4719A" w14:textId="77777777" w:rsidR="00D0408D" w:rsidRDefault="00D0408D" w:rsidP="000674F1">
      <w:pPr>
        <w:spacing w:after="0" w:line="240" w:lineRule="auto"/>
      </w:pPr>
      <w:r>
        <w:separator/>
      </w:r>
    </w:p>
  </w:endnote>
  <w:endnote w:type="continuationSeparator" w:id="0">
    <w:p w14:paraId="32E251B2" w14:textId="77777777" w:rsidR="00D0408D" w:rsidRDefault="00D0408D" w:rsidP="0006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9B7A9" w14:textId="77777777" w:rsidR="00D0408D" w:rsidRDefault="00D0408D" w:rsidP="000674F1">
      <w:pPr>
        <w:spacing w:after="0" w:line="240" w:lineRule="auto"/>
      </w:pPr>
      <w:r>
        <w:separator/>
      </w:r>
    </w:p>
  </w:footnote>
  <w:footnote w:type="continuationSeparator" w:id="0">
    <w:p w14:paraId="676D20EC" w14:textId="77777777" w:rsidR="00D0408D" w:rsidRDefault="00D0408D" w:rsidP="00067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EE684" w14:textId="77777777" w:rsidR="004A57BF" w:rsidRPr="004A57BF" w:rsidRDefault="004A57BF" w:rsidP="004A57BF">
    <w:pPr>
      <w:pStyle w:val="Antrats"/>
      <w:spacing w:line="360" w:lineRule="auto"/>
      <w:jc w:val="right"/>
    </w:pPr>
    <w:r w:rsidRPr="004A57BF">
      <w:t>Techninės specifikacijos</w:t>
    </w:r>
  </w:p>
  <w:p w14:paraId="34EE51F6" w14:textId="2937F561" w:rsidR="004A57BF" w:rsidRPr="004A57BF" w:rsidRDefault="004A57BF" w:rsidP="004A57BF">
    <w:pPr>
      <w:pStyle w:val="Antrats"/>
      <w:spacing w:line="360" w:lineRule="auto"/>
      <w:jc w:val="right"/>
    </w:pPr>
    <w:r>
      <w:t>D</w:t>
    </w:r>
    <w:r w:rsidRPr="004A57BF">
      <w:t xml:space="preserve"> priedas</w:t>
    </w:r>
  </w:p>
  <w:p w14:paraId="35CB1585" w14:textId="77777777" w:rsidR="004A57BF" w:rsidRPr="004A57BF" w:rsidRDefault="004A57BF" w:rsidP="004A57BF">
    <w:pPr>
      <w:pStyle w:val="Antrats"/>
      <w:jc w:val="right"/>
    </w:pPr>
  </w:p>
  <w:p w14:paraId="57B602CC" w14:textId="4B6C917F" w:rsidR="000674F1" w:rsidRDefault="000674F1" w:rsidP="000674F1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B6E23"/>
    <w:multiLevelType w:val="hybridMultilevel"/>
    <w:tmpl w:val="FF667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A69A4"/>
    <w:multiLevelType w:val="hybridMultilevel"/>
    <w:tmpl w:val="E8360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963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4C2D09"/>
    <w:multiLevelType w:val="hybridMultilevel"/>
    <w:tmpl w:val="9690A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74A7"/>
    <w:multiLevelType w:val="hybridMultilevel"/>
    <w:tmpl w:val="1192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198"/>
    <w:multiLevelType w:val="multilevel"/>
    <w:tmpl w:val="482E9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5F3C01"/>
    <w:multiLevelType w:val="hybridMultilevel"/>
    <w:tmpl w:val="6B5C2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7C8B"/>
    <w:multiLevelType w:val="multilevel"/>
    <w:tmpl w:val="57E66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BE5ECC"/>
    <w:multiLevelType w:val="hybridMultilevel"/>
    <w:tmpl w:val="E540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213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207D2E"/>
    <w:multiLevelType w:val="multilevel"/>
    <w:tmpl w:val="C0200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4"/>
        <w:szCs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  <w:szCs w:val="3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1" w15:restartNumberingAfterBreak="0">
    <w:nsid w:val="33E06127"/>
    <w:multiLevelType w:val="hybridMultilevel"/>
    <w:tmpl w:val="CC4AC3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5541DD"/>
    <w:multiLevelType w:val="multilevel"/>
    <w:tmpl w:val="F7728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A31EF4"/>
    <w:multiLevelType w:val="hybridMultilevel"/>
    <w:tmpl w:val="6CDA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F4B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A53503"/>
    <w:multiLevelType w:val="multilevel"/>
    <w:tmpl w:val="04881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F953D3"/>
    <w:multiLevelType w:val="multilevel"/>
    <w:tmpl w:val="86201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49" w:hanging="46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3888" w:hanging="72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5184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48" w:hanging="1800"/>
      </w:pPr>
      <w:rPr>
        <w:rFonts w:hint="default"/>
      </w:rPr>
    </w:lvl>
  </w:abstractNum>
  <w:abstractNum w:abstractNumId="17" w15:restartNumberingAfterBreak="0">
    <w:nsid w:val="5C724497"/>
    <w:multiLevelType w:val="multilevel"/>
    <w:tmpl w:val="F01CE9F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A1D3054"/>
    <w:multiLevelType w:val="hybridMultilevel"/>
    <w:tmpl w:val="A4665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B28CA"/>
    <w:multiLevelType w:val="hybridMultilevel"/>
    <w:tmpl w:val="E9D89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33845"/>
    <w:multiLevelType w:val="hybridMultilevel"/>
    <w:tmpl w:val="2B62D6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E69F6"/>
    <w:multiLevelType w:val="hybridMultilevel"/>
    <w:tmpl w:val="B782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57A81"/>
    <w:multiLevelType w:val="hybridMultilevel"/>
    <w:tmpl w:val="F41EB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6410949">
    <w:abstractNumId w:val="16"/>
  </w:num>
  <w:num w:numId="2" w16cid:durableId="145440592">
    <w:abstractNumId w:val="9"/>
  </w:num>
  <w:num w:numId="3" w16cid:durableId="1842504384">
    <w:abstractNumId w:val="10"/>
  </w:num>
  <w:num w:numId="4" w16cid:durableId="1485316596">
    <w:abstractNumId w:val="11"/>
  </w:num>
  <w:num w:numId="5" w16cid:durableId="1592201429">
    <w:abstractNumId w:val="19"/>
  </w:num>
  <w:num w:numId="6" w16cid:durableId="1032917425">
    <w:abstractNumId w:val="18"/>
  </w:num>
  <w:num w:numId="7" w16cid:durableId="2106608988">
    <w:abstractNumId w:val="20"/>
  </w:num>
  <w:num w:numId="8" w16cid:durableId="1402366342">
    <w:abstractNumId w:val="22"/>
  </w:num>
  <w:num w:numId="9" w16cid:durableId="1036929257">
    <w:abstractNumId w:val="17"/>
  </w:num>
  <w:num w:numId="10" w16cid:durableId="717778851">
    <w:abstractNumId w:val="15"/>
  </w:num>
  <w:num w:numId="11" w16cid:durableId="1318344112">
    <w:abstractNumId w:val="2"/>
  </w:num>
  <w:num w:numId="12" w16cid:durableId="864054601">
    <w:abstractNumId w:val="14"/>
  </w:num>
  <w:num w:numId="13" w16cid:durableId="594479464">
    <w:abstractNumId w:val="3"/>
  </w:num>
  <w:num w:numId="14" w16cid:durableId="641930152">
    <w:abstractNumId w:val="13"/>
  </w:num>
  <w:num w:numId="15" w16cid:durableId="374014495">
    <w:abstractNumId w:val="6"/>
  </w:num>
  <w:num w:numId="16" w16cid:durableId="1953902244">
    <w:abstractNumId w:val="4"/>
  </w:num>
  <w:num w:numId="17" w16cid:durableId="391925925">
    <w:abstractNumId w:val="0"/>
  </w:num>
  <w:num w:numId="18" w16cid:durableId="812334194">
    <w:abstractNumId w:val="12"/>
  </w:num>
  <w:num w:numId="19" w16cid:durableId="1565336438">
    <w:abstractNumId w:val="5"/>
  </w:num>
  <w:num w:numId="20" w16cid:durableId="1593010546">
    <w:abstractNumId w:val="7"/>
  </w:num>
  <w:num w:numId="21" w16cid:durableId="322974710">
    <w:abstractNumId w:val="1"/>
  </w:num>
  <w:num w:numId="22" w16cid:durableId="1544438418">
    <w:abstractNumId w:val="8"/>
  </w:num>
  <w:num w:numId="23" w16cid:durableId="97780188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1B"/>
    <w:rsid w:val="00037070"/>
    <w:rsid w:val="00051FC4"/>
    <w:rsid w:val="000674F1"/>
    <w:rsid w:val="0009254B"/>
    <w:rsid w:val="00181139"/>
    <w:rsid w:val="00242D00"/>
    <w:rsid w:val="002573BD"/>
    <w:rsid w:val="00287823"/>
    <w:rsid w:val="002B4FB6"/>
    <w:rsid w:val="002C2CE4"/>
    <w:rsid w:val="00350137"/>
    <w:rsid w:val="0038196D"/>
    <w:rsid w:val="00387922"/>
    <w:rsid w:val="003D069F"/>
    <w:rsid w:val="003D52AA"/>
    <w:rsid w:val="00401A85"/>
    <w:rsid w:val="00471E6B"/>
    <w:rsid w:val="00475CEA"/>
    <w:rsid w:val="00476D22"/>
    <w:rsid w:val="004A050E"/>
    <w:rsid w:val="004A57BF"/>
    <w:rsid w:val="004C2B13"/>
    <w:rsid w:val="004D7DD6"/>
    <w:rsid w:val="005020C8"/>
    <w:rsid w:val="00563447"/>
    <w:rsid w:val="005828EE"/>
    <w:rsid w:val="0062400F"/>
    <w:rsid w:val="00663390"/>
    <w:rsid w:val="00663B4B"/>
    <w:rsid w:val="00665D6F"/>
    <w:rsid w:val="00667934"/>
    <w:rsid w:val="006B41C4"/>
    <w:rsid w:val="00700BBF"/>
    <w:rsid w:val="00720444"/>
    <w:rsid w:val="007245E7"/>
    <w:rsid w:val="00763725"/>
    <w:rsid w:val="007A3FD6"/>
    <w:rsid w:val="007C1D2F"/>
    <w:rsid w:val="007C49D5"/>
    <w:rsid w:val="00814B2B"/>
    <w:rsid w:val="00863C11"/>
    <w:rsid w:val="00894702"/>
    <w:rsid w:val="009247DE"/>
    <w:rsid w:val="00996938"/>
    <w:rsid w:val="009C47D6"/>
    <w:rsid w:val="009E0D2A"/>
    <w:rsid w:val="009E4CC4"/>
    <w:rsid w:val="00A201A9"/>
    <w:rsid w:val="00A2391A"/>
    <w:rsid w:val="00A2459C"/>
    <w:rsid w:val="00A62E59"/>
    <w:rsid w:val="00A65AFE"/>
    <w:rsid w:val="00AA1EB7"/>
    <w:rsid w:val="00AA4A7B"/>
    <w:rsid w:val="00AC24E4"/>
    <w:rsid w:val="00AC2D43"/>
    <w:rsid w:val="00B83696"/>
    <w:rsid w:val="00BA57F9"/>
    <w:rsid w:val="00BD629A"/>
    <w:rsid w:val="00C5706D"/>
    <w:rsid w:val="00CF1ADC"/>
    <w:rsid w:val="00D0408D"/>
    <w:rsid w:val="00D44CE7"/>
    <w:rsid w:val="00D65ED4"/>
    <w:rsid w:val="00D8322B"/>
    <w:rsid w:val="00D90168"/>
    <w:rsid w:val="00DB41A1"/>
    <w:rsid w:val="00DF1B41"/>
    <w:rsid w:val="00E27800"/>
    <w:rsid w:val="00E567EE"/>
    <w:rsid w:val="00E75471"/>
    <w:rsid w:val="00E7555D"/>
    <w:rsid w:val="00E8047D"/>
    <w:rsid w:val="00EC1B9D"/>
    <w:rsid w:val="00F6141B"/>
    <w:rsid w:val="00F6470D"/>
    <w:rsid w:val="00FB2423"/>
    <w:rsid w:val="05D9DCCA"/>
    <w:rsid w:val="08BDFFEA"/>
    <w:rsid w:val="0A503BBC"/>
    <w:rsid w:val="0CCFF055"/>
    <w:rsid w:val="0DF2EB19"/>
    <w:rsid w:val="0F62E536"/>
    <w:rsid w:val="14C82D8F"/>
    <w:rsid w:val="1B0BD1F0"/>
    <w:rsid w:val="2BD9F262"/>
    <w:rsid w:val="2C3B3383"/>
    <w:rsid w:val="305F0E4F"/>
    <w:rsid w:val="31D9CEBE"/>
    <w:rsid w:val="37057A24"/>
    <w:rsid w:val="469A0EAB"/>
    <w:rsid w:val="492E05FF"/>
    <w:rsid w:val="50D5C48F"/>
    <w:rsid w:val="51387E6D"/>
    <w:rsid w:val="5B892109"/>
    <w:rsid w:val="5D67A6BB"/>
    <w:rsid w:val="5DCC284F"/>
    <w:rsid w:val="627F2696"/>
    <w:rsid w:val="76C45612"/>
    <w:rsid w:val="7D017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3A888"/>
  <w15:chartTrackingRefBased/>
  <w15:docId w15:val="{9C40290F-A029-4A39-910E-502B7AC9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254B"/>
    <w:pPr>
      <w:spacing w:after="200" w:line="276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614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614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614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614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614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614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614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614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614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614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614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614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6141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6141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6141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6141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6141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6141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614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61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614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614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614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6141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6141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6141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614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6141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6141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674F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74F1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674F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74F1"/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rFonts w:ascii="Times New Roman" w:eastAsia="Calibri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EC1B9D"/>
    <w:pPr>
      <w:spacing w:after="0" w:line="240" w:lineRule="auto"/>
    </w:pPr>
    <w:rPr>
      <w:rFonts w:ascii="Times New Roman" w:eastAsia="Calibri" w:hAnsi="Times New Roman" w:cs="Times New Roman"/>
      <w:kern w:val="0"/>
      <w:szCs w:val="22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2D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2D00"/>
    <w:rPr>
      <w:rFonts w:ascii="Times New Roman" w:eastAsia="Calibri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37057A24"/>
    <w:rPr>
      <w:color w:val="467886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14B2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cpva.lt/wp-content/uploads/2024/04/ip-metodika_202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E012B16253B4CABE0D95DF87C5E4C" ma:contentTypeVersion="10" ma:contentTypeDescription="Create a new document." ma:contentTypeScope="" ma:versionID="f6aacbe558836e33e2f677fd5a5e3a31">
  <xsd:schema xmlns:xsd="http://www.w3.org/2001/XMLSchema" xmlns:xs="http://www.w3.org/2001/XMLSchema" xmlns:p="http://schemas.microsoft.com/office/2006/metadata/properties" xmlns:ns2="cbefba0e-41af-43d6-a9d9-0922df45d035" targetNamespace="http://schemas.microsoft.com/office/2006/metadata/properties" ma:root="true" ma:fieldsID="0911bff639d445a9609f3ed2d4d52fd8" ns2:_="">
    <xsd:import namespace="cbefba0e-41af-43d6-a9d9-0922df45d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fba0e-41af-43d6-a9d9-0922df45d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cca6f37-4835-4797-a8c1-76f7557b6b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efba0e-41af-43d6-a9d9-0922df45d0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54AC67-6DA8-4C47-94F9-FA5C1917F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fba0e-41af-43d6-a9d9-0922df45d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9D938-D338-44D8-AF97-8DFA8C1E3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65832-BC5C-451D-A381-E3EACBEE0A3A}">
  <ds:schemaRefs>
    <ds:schemaRef ds:uri="http://schemas.microsoft.com/office/2006/metadata/properties"/>
    <ds:schemaRef ds:uri="http://schemas.microsoft.com/office/infopath/2007/PartnerControls"/>
    <ds:schemaRef ds:uri="cbefba0e-41af-43d6-a9d9-0922df45d0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3843</Words>
  <Characters>2191</Characters>
  <Application>Microsoft Office Word</Application>
  <DocSecurity>0</DocSecurity>
  <Lines>18</Lines>
  <Paragraphs>12</Paragraphs>
  <ScaleCrop>false</ScaleCrop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Aleksej Čižov</dc:creator>
  <cp:lastModifiedBy>Rasa Malijauskienė</cp:lastModifiedBy>
  <cp:revision>61</cp:revision>
  <dcterms:created xsi:type="dcterms:W3CDTF">2026-01-24T07:59:00Z</dcterms:created>
  <dcterms:modified xsi:type="dcterms:W3CDTF">2026-06-25T05:28:00Z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0x01010021DE012B16253B4CABE0D95DF87C5E4C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